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Oswald" w:cs="Oswald" w:eastAsia="Oswald" w:hAnsi="Oswald"/>
        </w:rPr>
      </w:pPr>
      <w:r w:rsidDel="00000000" w:rsidR="00000000" w:rsidRPr="00000000">
        <w:rPr>
          <w:rFonts w:ascii="Oswald" w:cs="Oswald" w:eastAsia="Oswald" w:hAnsi="Oswald"/>
          <w:rtl w:val="0"/>
        </w:rPr>
        <w:t xml:space="preserve">Este é um questionário de partilha e autorreflexão.</w:t>
      </w:r>
    </w:p>
    <w:p w:rsidR="00000000" w:rsidDel="00000000" w:rsidP="00000000" w:rsidRDefault="00000000" w:rsidRPr="00000000" w14:paraId="00000003">
      <w:pPr>
        <w:jc w:val="both"/>
        <w:rPr>
          <w:rFonts w:ascii="Oswald" w:cs="Oswald" w:eastAsia="Oswald" w:hAnsi="Oswal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Oswald" w:cs="Oswald" w:eastAsia="Oswald" w:hAnsi="Oswald"/>
        </w:rPr>
      </w:pPr>
      <w:r w:rsidDel="00000000" w:rsidR="00000000" w:rsidRPr="00000000">
        <w:rPr>
          <w:rFonts w:ascii="Oswald" w:cs="Oswald" w:eastAsia="Oswald" w:hAnsi="Oswald"/>
          <w:rtl w:val="0"/>
        </w:rPr>
        <w:t xml:space="preserve">Pretende-se com ele:</w:t>
      </w:r>
    </w:p>
    <w:p w:rsidR="00000000" w:rsidDel="00000000" w:rsidP="00000000" w:rsidRDefault="00000000" w:rsidRPr="00000000" w14:paraId="00000005">
      <w:pPr>
        <w:jc w:val="both"/>
        <w:rPr>
          <w:rFonts w:ascii="Oswald" w:cs="Oswald" w:eastAsia="Oswald" w:hAnsi="Oswal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Oswald" w:cs="Oswald" w:eastAsia="Oswald" w:hAnsi="Oswald"/>
        </w:rPr>
      </w:pPr>
      <w:r w:rsidDel="00000000" w:rsidR="00000000" w:rsidRPr="00000000">
        <w:rPr>
          <w:rFonts w:ascii="Oswald" w:cs="Oswald" w:eastAsia="Oswald" w:hAnsi="Oswald"/>
          <w:b w:val="1"/>
          <w:rtl w:val="0"/>
        </w:rPr>
        <w:t xml:space="preserve">1.</w:t>
      </w:r>
      <w:r w:rsidDel="00000000" w:rsidR="00000000" w:rsidRPr="00000000">
        <w:rPr>
          <w:rFonts w:ascii="Oswald" w:cs="Oswald" w:eastAsia="Oswald" w:hAnsi="Oswald"/>
          <w:rtl w:val="0"/>
        </w:rPr>
        <w:t xml:space="preserve"> Refletir sobre o trabalho feito, valorizar e celebrar o que de bom foi realizado! Refletir sobre o que esteve menos bem e pensar formas de melhorar na próxima ação!</w:t>
      </w:r>
    </w:p>
    <w:p w:rsidR="00000000" w:rsidDel="00000000" w:rsidP="00000000" w:rsidRDefault="00000000" w:rsidRPr="00000000" w14:paraId="00000007">
      <w:pPr>
        <w:jc w:val="both"/>
        <w:rPr>
          <w:rFonts w:ascii="Oswald" w:cs="Oswald" w:eastAsia="Oswald" w:hAnsi="Oswal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Oswald" w:cs="Oswald" w:eastAsia="Oswald" w:hAnsi="Oswald"/>
        </w:rPr>
      </w:pPr>
      <w:r w:rsidDel="00000000" w:rsidR="00000000" w:rsidRPr="00000000">
        <w:rPr>
          <w:rFonts w:ascii="Oswald" w:cs="Oswald" w:eastAsia="Oswald" w:hAnsi="Oswald"/>
          <w:b w:val="1"/>
          <w:rtl w:val="0"/>
        </w:rPr>
        <w:t xml:space="preserve">2.</w:t>
      </w:r>
      <w:r w:rsidDel="00000000" w:rsidR="00000000" w:rsidRPr="00000000">
        <w:rPr>
          <w:rFonts w:ascii="Oswald" w:cs="Oswald" w:eastAsia="Oswald" w:hAnsi="Oswald"/>
          <w:rtl w:val="0"/>
        </w:rPr>
        <w:t xml:space="preserve"> Partilhar boas práticas;</w:t>
      </w:r>
    </w:p>
    <w:p w:rsidR="00000000" w:rsidDel="00000000" w:rsidP="00000000" w:rsidRDefault="00000000" w:rsidRPr="00000000" w14:paraId="00000009">
      <w:pPr>
        <w:jc w:val="both"/>
        <w:rPr>
          <w:rFonts w:ascii="Oswald" w:cs="Oswald" w:eastAsia="Oswald" w:hAnsi="Oswal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Oswald" w:cs="Oswald" w:eastAsia="Oswald" w:hAnsi="Oswald"/>
        </w:rPr>
      </w:pPr>
      <w:r w:rsidDel="00000000" w:rsidR="00000000" w:rsidRPr="00000000">
        <w:rPr>
          <w:rFonts w:ascii="Oswald" w:cs="Oswald" w:eastAsia="Oswald" w:hAnsi="Oswald"/>
          <w:b w:val="1"/>
          <w:rtl w:val="0"/>
        </w:rPr>
        <w:t xml:space="preserve">3.</w:t>
      </w:r>
      <w:r w:rsidDel="00000000" w:rsidR="00000000" w:rsidRPr="00000000">
        <w:rPr>
          <w:rFonts w:ascii="Oswald" w:cs="Oswald" w:eastAsia="Oswald" w:hAnsi="Oswald"/>
          <w:rtl w:val="0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:rsidR="00000000" w:rsidDel="00000000" w:rsidP="00000000" w:rsidRDefault="00000000" w:rsidRPr="00000000" w14:paraId="0000000B">
      <w:pPr>
        <w:jc w:val="both"/>
        <w:rPr>
          <w:rFonts w:ascii="Oswald" w:cs="Oswald" w:eastAsia="Oswald" w:hAnsi="Oswal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Oswald" w:cs="Oswald" w:eastAsia="Oswald" w:hAnsi="Oswal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Oswald" w:cs="Oswald" w:eastAsia="Oswald" w:hAnsi="Oswald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83.0" w:type="dxa"/>
        <w:jc w:val="left"/>
        <w:tblInd w:w="-436.0" w:type="dxa"/>
        <w:tblLayout w:type="fixed"/>
        <w:tblLook w:val="0400"/>
      </w:tblPr>
      <w:tblGrid>
        <w:gridCol w:w="10383"/>
        <w:tblGridChange w:id="0">
          <w:tblGrid>
            <w:gridCol w:w="10383"/>
          </w:tblGrid>
        </w:tblGridChange>
      </w:tblGrid>
      <w:tr>
        <w:trPr>
          <w:trHeight w:val="320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NOTA: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f2f2f2" w:val="clear"/>
          </w:tcPr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i w:val="1"/>
                <w:color w:val="7f7f7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7f7f7f"/>
                <w:sz w:val="20"/>
                <w:szCs w:val="20"/>
                <w:rtl w:val="0"/>
              </w:rPr>
              <w:t xml:space="preserve"> Responda apenas às questões que se coadunem à atividade em questão</w:t>
            </w:r>
          </w:p>
        </w:tc>
      </w:tr>
    </w:tbl>
    <w:p w:rsidR="00000000" w:rsidDel="00000000" w:rsidP="00000000" w:rsidRDefault="00000000" w:rsidRPr="00000000" w14:paraId="00000010">
      <w:pPr>
        <w:jc w:val="both"/>
        <w:rPr>
          <w:rFonts w:ascii="Oswald" w:cs="Oswald" w:eastAsia="Oswald" w:hAnsi="Oswald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383.0" w:type="dxa"/>
        <w:jc w:val="left"/>
        <w:tblInd w:w="-436.0" w:type="dxa"/>
        <w:tblLayout w:type="fixed"/>
        <w:tblLook w:val="0400"/>
      </w:tblPr>
      <w:tblGrid>
        <w:gridCol w:w="4784"/>
        <w:gridCol w:w="5599"/>
        <w:tblGridChange w:id="0">
          <w:tblGrid>
            <w:gridCol w:w="4784"/>
            <w:gridCol w:w="5599"/>
          </w:tblGrid>
        </w:tblGridChange>
      </w:tblGrid>
      <w:tr>
        <w:trPr>
          <w:trHeight w:val="320" w:hRule="atLeast"/>
        </w:trPr>
        <w:tc>
          <w:tcPr>
            <w:gridSpan w:val="2"/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NOTA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2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:</w:t>
            </w:r>
          </w:p>
        </w:tc>
      </w:tr>
      <w:tr>
        <w:trPr>
          <w:trHeight w:val="300" w:hRule="atLeast"/>
        </w:trPr>
        <w:tc>
          <w:tcPr>
            <w:gridSpan w:val="2"/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f2f2f2" w:val="clear"/>
          </w:tcPr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  <w:i w:val="1"/>
                <w:color w:val="7f7f7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7f7f7f"/>
                <w:sz w:val="20"/>
                <w:szCs w:val="20"/>
                <w:rtl w:val="0"/>
              </w:rPr>
              <w:t xml:space="preserve"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dotted"/>
              <w:left w:color="000000" w:space="0" w:sz="0" w:val="nil"/>
              <w:bottom w:color="000000" w:space="0" w:sz="4" w:val="dotted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13"/>
                <w:szCs w:val="1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0" w:val="nil"/>
              <w:bottom w:color="000000" w:space="0" w:sz="4" w:val="dotted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13"/>
                <w:szCs w:val="1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gridSpan w:val="2"/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NOTA 3: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f2f2f2" w:val="clear"/>
          </w:tcPr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Onde se lê: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f2f2f2" w:val="clear"/>
          </w:tcPr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Pode ler-se: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Design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conceção e desenho de materiais de divulgação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Rightsholders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titulares de direitos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Stakeholders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Partes interessadas e com capacidade para gerir mudança</w:t>
            </w:r>
          </w:p>
        </w:tc>
      </w:tr>
    </w:tbl>
    <w:p w:rsidR="00000000" w:rsidDel="00000000" w:rsidP="00000000" w:rsidRDefault="00000000" w:rsidRPr="00000000" w14:paraId="00000021">
      <w:pPr>
        <w:jc w:val="both"/>
        <w:rPr>
          <w:rFonts w:ascii="Oswald" w:cs="Oswald" w:eastAsia="Oswald" w:hAnsi="Oswal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Oswald" w:cs="Oswald" w:eastAsia="Oswald" w:hAnsi="Oswal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Oswald" w:cs="Oswald" w:eastAsia="Oswald" w:hAnsi="Oswal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Oswald" w:cs="Oswald" w:eastAsia="Oswald" w:hAnsi="Oswal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Oswald" w:cs="Oswald" w:eastAsia="Oswald" w:hAnsi="Oswal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Oswald" w:cs="Oswald" w:eastAsia="Oswald" w:hAnsi="Oswald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60" w:before="240" w:lineRule="auto"/>
        <w:ind w:hanging="567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60" w:before="240" w:lineRule="auto"/>
        <w:ind w:hanging="567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1. Identificação da Estrutura - Organização Interna (Obrigatório)</w:t>
      </w:r>
    </w:p>
    <w:tbl>
      <w:tblPr>
        <w:tblStyle w:val="Table3"/>
        <w:tblW w:w="10383.0" w:type="dxa"/>
        <w:jc w:val="left"/>
        <w:tblInd w:w="-4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8120"/>
        <w:tblGridChange w:id="0">
          <w:tblGrid>
            <w:gridCol w:w="2263"/>
            <w:gridCol w:w="8120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Nome da Estrutura:</w:t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ReAJ – Rede de Ação Jovem</w:t>
            </w:r>
          </w:p>
        </w:tc>
      </w:tr>
    </w:tbl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60" w:lineRule="auto"/>
        <w:ind w:hanging="567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60" w:lineRule="auto"/>
        <w:ind w:hanging="567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2. Tipo e descrição do evento (obrigatório)</w:t>
        <w:tab/>
      </w:r>
    </w:p>
    <w:tbl>
      <w:tblPr>
        <w:tblStyle w:val="Table4"/>
        <w:tblW w:w="10390.0" w:type="dxa"/>
        <w:jc w:val="left"/>
        <w:tblInd w:w="-426.0" w:type="dxa"/>
        <w:tblLayout w:type="fixed"/>
        <w:tblLook w:val="0400"/>
      </w:tblPr>
      <w:tblGrid>
        <w:gridCol w:w="2126"/>
        <w:gridCol w:w="3090"/>
        <w:gridCol w:w="2025"/>
        <w:gridCol w:w="3149"/>
        <w:tblGridChange w:id="0">
          <w:tblGrid>
            <w:gridCol w:w="2126"/>
            <w:gridCol w:w="3090"/>
            <w:gridCol w:w="2025"/>
            <w:gridCol w:w="3149"/>
          </w:tblGrid>
        </w:tblGridChange>
      </w:tblGrid>
      <w:tr>
        <w:trPr>
          <w:trHeight w:val="340" w:hRule="atLeast"/>
        </w:trPr>
        <w:tc>
          <w:tcPr>
            <w:gridSpan w:val="4"/>
            <w:tcBorders>
              <w:bottom w:color="000000" w:space="0" w:sz="4" w:val="dotted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Projeto em que se insere</w:t>
            </w:r>
          </w:p>
        </w:tc>
      </w:tr>
      <w:tr>
        <w:trPr>
          <w:trHeight w:val="820" w:hRule="atLeast"/>
        </w:trPr>
        <w:tc>
          <w:tcPr>
            <w:gridSpan w:val="4"/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Maratona de Cartas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gridSpan w:val="4"/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f2f2f2" w:val="clear"/>
          </w:tcPr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i w:val="1"/>
                <w:color w:val="7f7f7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7f7f7f"/>
                <w:sz w:val="20"/>
                <w:szCs w:val="20"/>
                <w:rtl w:val="0"/>
              </w:rPr>
              <w:t xml:space="preserve">Exemplos: "Eu Acolho"; "Brave"; "Maratona de Cartas"; "EDH";</w:t>
            </w:r>
          </w:p>
        </w:tc>
      </w:tr>
      <w:tr>
        <w:trPr>
          <w:trHeight w:val="340" w:hRule="atLeast"/>
        </w:trPr>
        <w:tc>
          <w:tcPr>
            <w:gridSpan w:val="4"/>
            <w:tcBorders>
              <w:bottom w:color="000000" w:space="0" w:sz="4" w:val="dotted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Tipo de Atividade</w:t>
            </w:r>
          </w:p>
        </w:tc>
      </w:tr>
      <w:tr>
        <w:trPr>
          <w:trHeight w:val="1120" w:hRule="atLeast"/>
        </w:trPr>
        <w:tc>
          <w:tcPr>
            <w:gridSpan w:val="4"/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Ação de Recolha de Assinaturas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gridSpan w:val="4"/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f2f2f2" w:val="clear"/>
          </w:tcPr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i w:val="1"/>
                <w:color w:val="7f7f7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7f7f7f"/>
                <w:sz w:val="20"/>
                <w:szCs w:val="20"/>
                <w:rtl w:val="0"/>
              </w:rPr>
              <w:t xml:space="preserve"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>
        <w:trPr>
          <w:trHeight w:val="340" w:hRule="atLeast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Data(s) de realização da atividade</w:t>
            </w:r>
          </w:p>
        </w:tc>
      </w:tr>
      <w:tr>
        <w:trPr>
          <w:trHeight w:val="340" w:hRule="atLeast"/>
        </w:trPr>
        <w:tc>
          <w:tcPr>
            <w:tcBorders>
              <w:right w:color="000000" w:space="0" w:sz="4" w:val="dotted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 Em (ou de):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Início de dezembro de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otted"/>
              <w:right w:color="000000" w:space="0" w:sz="4" w:val="dotted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Até: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Final de janeiro de 2019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spacing w:after="160" w:lineRule="auto"/>
        <w:ind w:hanging="567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160" w:lineRule="auto"/>
        <w:ind w:hanging="567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3. Impacto em direitos humanos alcançado (facultativo e se aplicável)</w:t>
      </w:r>
    </w:p>
    <w:tbl>
      <w:tblPr>
        <w:tblStyle w:val="Table5"/>
        <w:tblW w:w="10363.0" w:type="dxa"/>
        <w:jc w:val="left"/>
        <w:tblInd w:w="-431.0" w:type="dxa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400"/>
      </w:tblPr>
      <w:tblGrid>
        <w:gridCol w:w="3435"/>
        <w:gridCol w:w="3660"/>
        <w:gridCol w:w="3268"/>
        <w:tblGridChange w:id="0">
          <w:tblGrid>
            <w:gridCol w:w="3435"/>
            <w:gridCol w:w="3660"/>
            <w:gridCol w:w="3268"/>
          </w:tblGrid>
        </w:tblGridChange>
      </w:tblGrid>
      <w:tr>
        <w:trPr>
          <w:trHeight w:val="340" w:hRule="atLeast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after="120" w:lineRule="auto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3.1. Crescimento da Estrutura e envolvimento na atividade (preencher apenas os campos adequados)</w:t>
            </w:r>
          </w:p>
        </w:tc>
      </w:tr>
      <w:tr>
        <w:trPr>
          <w:trHeight w:val="440" w:hRule="atLeast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Número de novos/as membros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Número de participantes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Aprox.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310 - membros da ReAJ + cerca de 290 pessoas que assinaram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Número de alunos/as envolvidos/as (escolas)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trHeight w:val="440" w:hRule="atLeast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Número de professores/as e agentes educativos/as envolvidos/as (escolas)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trHeight w:val="440" w:hRule="atLeast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Número de pessoas que deixaram o seu contacto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Número de assinaturas assinadas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cerca de 1200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Conseguidos/as novos/as membros para a Estrutura Operacional?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Não</w:t>
            </w:r>
          </w:p>
        </w:tc>
      </w:tr>
      <w:tr>
        <w:trPr>
          <w:trHeight w:val="440" w:hRule="atLeast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Conseguidos/as novos/as membros para a AI - Portugal?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spacing w:after="12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12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120" w:lineRule="auto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120" w:lineRule="auto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3.2. Comunicação e campanhas</w:t>
            </w:r>
          </w:p>
        </w:tc>
      </w:tr>
      <w:tr>
        <w:trPr>
          <w:trHeight w:val="400" w:hRule="atLeast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Comunicação e divulgação da atividade</w:t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Número de órgãos de comunicação social locais para os quais a notícia da atividade seguiu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77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Número de notícias produzidas pelos órgãos de comunicação social locais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7A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Órgãos de comunicação sociais locais presentes no evento?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7D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Materiais de design produzidos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p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ela Estrutura, Sede, SI?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Utilizámos os materiais físicos que nos foram entregues pela Sede. Para a divulgação online foram utilizados materiais produzidos pelo SI e alguns pela equipa de comunicação da ReAJ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80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Para quem foi divulgada a atividade?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 atividade foi divulgada para membros da estrutura e pessoas exteriores à Amnistia. O público alvo foram jovens e famílias. </w:t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83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Evento divulgado pelas redes sociais (descrição)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ação foi divulgada nas redes sociais e site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Evento com promoção paga nas redes (quanto?)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Não</w:t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89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Indicadores de impacto nas redes sociais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Houve vários posts relativos à maratona de cartas, não nos sendo possível recolher informação completa de tudo.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Evento enviado para outras plataformas online? (quais, descrição)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Não</w:t>
            </w:r>
          </w:p>
        </w:tc>
      </w:tr>
      <w:tr>
        <w:trPr>
          <w:trHeight w:val="440" w:hRule="atLeast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Decorrer da Atividade</w:t>
            </w:r>
          </w:p>
        </w:tc>
      </w:tr>
      <w:tr>
        <w:trPr>
          <w:trHeight w:val="4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92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Foi feito uma explicação prévia (briefing) aos/às voluntários/às e membros participantes na atividade?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Sim</w:t>
            </w:r>
          </w:p>
        </w:tc>
      </w:tr>
      <w:tr>
        <w:trPr>
          <w:trHeight w:val="4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95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Audiovisuais: fotógrafo, equipa de filmagem?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98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Replicação de material audiovisual produzido nas redes?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Foi feito um agradecimento ao público alvo e público presente (descrição)?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Será feito brevemente quando tivermos o número final de assinaturas recolhidas tanto por nós como a nível nacional e mundial. Aquando da data de realização deste relatório ainda não tínhamos essa informação e por isso não foi feito ainda o agradecimento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9E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Descrição da 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ação consistiu em dividir membros da ReAJ em 5 equipas, uma por cada caso da Maratona de Cartas, e fazer uma espécie de competição para ver qual o grupo que trazia mais assinaturas. As pessoas tiveram a oportunidade de recolher assinaturas junto de colegas, família, fazer ações, etc., havendo apenas como regra respeitar a visão e missão da AI, informando sempre todas as pessoas a quem pedissem assinatura para os casos. Paralelamente, foi divulgado online que a ReAJ se encontrava a recolher assinaturas, e que também era possível fazê-lo online no site da AI-PT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spacing w:after="160" w:before="240" w:lineRule="auto"/>
        <w:ind w:hanging="567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0365.0" w:type="dxa"/>
        <w:jc w:val="left"/>
        <w:tblInd w:w="-431.0" w:type="dxa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400"/>
      </w:tblPr>
      <w:tblGrid>
        <w:gridCol w:w="4065"/>
        <w:gridCol w:w="6300"/>
        <w:tblGridChange w:id="0">
          <w:tblGrid>
            <w:gridCol w:w="4065"/>
            <w:gridCol w:w="6300"/>
          </w:tblGrid>
        </w:tblGridChange>
      </w:tblGrid>
      <w:tr>
        <w:trPr>
          <w:trHeight w:val="8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spacing w:after="120" w:lineRule="auto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3.3. Autoridades, parceiros externos, rightsholders (se aplicável)</w:t>
              <w:tab/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bottom"/>
          </w:tcPr>
          <w:p w:rsidR="00000000" w:rsidDel="00000000" w:rsidP="00000000" w:rsidRDefault="00000000" w:rsidRPr="00000000" w14:paraId="000000A4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Estratégia de envolvimento de stakeholders e rightsholders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bottom"/>
          </w:tcPr>
          <w:p w:rsidR="00000000" w:rsidDel="00000000" w:rsidP="00000000" w:rsidRDefault="00000000" w:rsidRPr="00000000" w14:paraId="000000A6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Altura em que foram contactados para ajudar, divulgar ou participar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bottom"/>
          </w:tcPr>
          <w:p w:rsidR="00000000" w:rsidDel="00000000" w:rsidP="00000000" w:rsidRDefault="00000000" w:rsidRPr="00000000" w14:paraId="000000A8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Stakeholders/ rightsholders participaram, divulgaram ou ajudaram (quantidade e participação)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AA">
      <w:pPr>
        <w:spacing w:after="0" w:before="0" w:lineRule="auto"/>
        <w:ind w:hanging="567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365.0" w:type="dxa"/>
        <w:jc w:val="left"/>
        <w:tblInd w:w="-431.0" w:type="dxa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400"/>
      </w:tblPr>
      <w:tblGrid>
        <w:gridCol w:w="4020"/>
        <w:gridCol w:w="6345"/>
        <w:tblGridChange w:id="0">
          <w:tblGrid>
            <w:gridCol w:w="4020"/>
            <w:gridCol w:w="6345"/>
          </w:tblGrid>
        </w:tblGridChange>
      </w:tblGrid>
      <w:tr>
        <w:trPr>
          <w:trHeight w:val="8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spacing w:after="120" w:lineRule="auto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3.4. Angariação de Fundos</w:t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A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Foi preparada venda de merchandising?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A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Quais os resultados da venda de merchandising?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B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Foram conseguidos apoios e reduções de preços na conceção de materiais?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 </w:t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B3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Tipos de apoio conseguidos e montante poupado: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B5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Donativos ao grupo?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B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Angariação de novos apoiantes?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B9">
      <w:pPr>
        <w:spacing w:after="0" w:before="0" w:line="240" w:lineRule="auto"/>
        <w:ind w:hanging="567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365.0" w:type="dxa"/>
        <w:jc w:val="left"/>
        <w:tblInd w:w="-431.0" w:type="dxa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400"/>
      </w:tblPr>
      <w:tblGrid>
        <w:gridCol w:w="3990"/>
        <w:gridCol w:w="6375"/>
        <w:tblGridChange w:id="0">
          <w:tblGrid>
            <w:gridCol w:w="3990"/>
            <w:gridCol w:w="6375"/>
          </w:tblGrid>
        </w:tblGridChange>
      </w:tblGrid>
      <w:tr>
        <w:trPr>
          <w:trHeight w:val="8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spacing w:after="120" w:lineRule="auto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3.5. Execução orçamental da atividade (sumária)</w:t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B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Orçamento alocado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trHeight w:val="44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B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Orçamento executado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C0">
      <w:pPr>
        <w:spacing w:after="0" w:lineRule="auto"/>
        <w:ind w:hanging="567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160" w:lineRule="auto"/>
        <w:ind w:hanging="567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4. Avaliação global (facultativo e se aplicável)</w:t>
      </w:r>
    </w:p>
    <w:tbl>
      <w:tblPr>
        <w:tblStyle w:val="Table9"/>
        <w:tblW w:w="10380.0" w:type="dxa"/>
        <w:jc w:val="left"/>
        <w:tblInd w:w="-426.0" w:type="dxa"/>
        <w:tblLayout w:type="fixed"/>
        <w:tblLook w:val="0400"/>
      </w:tblPr>
      <w:tblGrid>
        <w:gridCol w:w="10380"/>
        <w:tblGridChange w:id="0">
          <w:tblGrid>
            <w:gridCol w:w="10380"/>
          </w:tblGrid>
        </w:tblGridChange>
      </w:tblGrid>
      <w:tr>
        <w:trPr>
          <w:trHeight w:val="340" w:hRule="atLeast"/>
        </w:trPr>
        <w:tc>
          <w:tcPr>
            <w:tcBorders>
              <w:bottom w:color="000000" w:space="0" w:sz="4" w:val="dotted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4.1. Aspetos positivos</w:t>
              <w:tab/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f2f2f2" w:val="clear"/>
          </w:tcPr>
          <w:p w:rsidR="00000000" w:rsidDel="00000000" w:rsidP="00000000" w:rsidRDefault="00000000" w:rsidRPr="00000000" w14:paraId="000000C3">
            <w:pPr>
              <w:rPr>
                <w:rFonts w:ascii="Calibri" w:cs="Calibri" w:eastAsia="Calibri" w:hAnsi="Calibri"/>
                <w:i w:val="1"/>
                <w:color w:val="7f7f7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7f7f7f"/>
                <w:sz w:val="20"/>
                <w:szCs w:val="20"/>
                <w:rtl w:val="0"/>
              </w:rPr>
              <w:t xml:space="preserve">Descreva aqui os aspetos positivos a destacar</w:t>
            </w:r>
          </w:p>
        </w:tc>
      </w:tr>
      <w:tr>
        <w:trPr>
          <w:trHeight w:val="1020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 número de assinaturas para a maratona de cartas aumentou significativamente face ao ano anterior. Além do mais, a elaboração das equipas aumentou as relações internas no grupo, e permitiu envolver membros da ReAJ que haviam entrado no grupo muito recentemente.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</w:p>
        </w:tc>
      </w:tr>
      <w:tr>
        <w:trPr>
          <w:trHeight w:val="540" w:hRule="atLeast"/>
        </w:trPr>
        <w:tc>
          <w:tcPr>
            <w:tcBorders>
              <w:bottom w:color="000000" w:space="0" w:sz="4" w:val="dotted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4.2. Aspetos negativos e a melhorar em eventos futuros</w:t>
            </w:r>
          </w:p>
        </w:tc>
      </w:tr>
      <w:tr>
        <w:trPr>
          <w:trHeight w:val="200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f2f2f2" w:val="clear"/>
          </w:tcPr>
          <w:p w:rsidR="00000000" w:rsidDel="00000000" w:rsidP="00000000" w:rsidRDefault="00000000" w:rsidRPr="00000000" w14:paraId="000000C8">
            <w:pPr>
              <w:rPr>
                <w:rFonts w:ascii="Calibri" w:cs="Calibri" w:eastAsia="Calibri" w:hAnsi="Calibri"/>
                <w:i w:val="1"/>
                <w:color w:val="7f7f7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7f7f7f"/>
                <w:sz w:val="20"/>
                <w:szCs w:val="20"/>
                <w:rtl w:val="0"/>
              </w:rPr>
              <w:t xml:space="preserve">Descreva aqui os aspetos negativos a melhorar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Não conseguimos elaborar nenhum evento para a recolha de assinaturas em grupo como tínhamos planeado. No entanto, ficaram feitos os contactos para conseguirmos realizar a ação que pretendíamos num futuro próximo.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bottom w:color="000000" w:space="0" w:sz="4" w:val="dotted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4.3. Impacto geral em direitos humanos e respetivo público-alvo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f2f2f2" w:val="clear"/>
          </w:tcPr>
          <w:p w:rsidR="00000000" w:rsidDel="00000000" w:rsidP="00000000" w:rsidRDefault="00000000" w:rsidRPr="00000000" w14:paraId="000000CC">
            <w:pPr>
              <w:rPr>
                <w:rFonts w:ascii="Calibri" w:cs="Calibri" w:eastAsia="Calibri" w:hAnsi="Calibri"/>
                <w:i w:val="1"/>
                <w:color w:val="7f7f7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7f7f7f"/>
                <w:sz w:val="20"/>
                <w:szCs w:val="20"/>
                <w:rtl w:val="0"/>
              </w:rPr>
              <w:t xml:space="preserve">Descreva aqui o impacto alcançado de forma geral, mencionando os públicos-alvo do projeto e o âmbito geográfico/temático do mesmo.</w:t>
            </w:r>
          </w:p>
        </w:tc>
      </w:tr>
      <w:tr>
        <w:trPr>
          <w:trHeight w:val="660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Através desta ação, mais membros da ReAJ sentiram que estavam a agir pelos Direitos Humanos, e a recolha de assinaturas serviu como pretexto para iniciar vários diálogos sobre Direitos Humanos com colegas, familiares, etc.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E">
      <w:pPr>
        <w:spacing w:after="160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40" w:w="11900"/>
      <w:pgMar w:bottom="420" w:top="930" w:left="1440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Oswald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F">
    <w:pPr>
      <w:spacing w:after="240" w:lineRule="auto"/>
      <w:ind w:left="0" w:right="2226.8503937007877" w:firstLine="0"/>
      <w:rPr>
        <w:b w:val="1"/>
        <w:color w:val="ffffff"/>
        <w:sz w:val="32"/>
        <w:szCs w:val="32"/>
        <w:highlight w:val="darkGray"/>
      </w:rPr>
    </w:pPr>
    <w:r w:rsidDel="00000000" w:rsidR="00000000" w:rsidRPr="00000000">
      <w:rPr>
        <w:b w:val="1"/>
        <w:color w:val="ffffff"/>
        <w:sz w:val="32"/>
        <w:szCs w:val="32"/>
        <w:highlight w:val="darkGray"/>
        <w:rtl w:val="0"/>
      </w:rPr>
      <w:t xml:space="preserve"> AVALIAÇÃO DE IMPACTO - 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b="0" l="0" r="0" t="0"/>
          <wp:wrapSquare wrapText="bothSides" distB="0" distT="0" distL="0" distR="0"/>
          <wp:docPr descr="../../../../../Downloads/Logotipo_Amnistia_Internacional_Portugal_RGB_PNG.png" id="1" name="image1.png"/>
          <a:graphic>
            <a:graphicData uri="http://schemas.openxmlformats.org/drawingml/2006/picture">
              <pic:pic>
                <pic:nvPicPr>
                  <pic:cNvPr descr="../../../../../Downloads/Logotipo_Amnistia_Internacional_Portugal_RGB_PNG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05535" cy="42799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0">
    <w:pPr>
      <w:spacing w:after="240" w:lineRule="auto"/>
      <w:ind w:left="0" w:right="2226.8503937007877" w:firstLine="0"/>
      <w:rPr>
        <w:b w:val="1"/>
        <w:color w:val="ffffff"/>
        <w:sz w:val="32"/>
        <w:szCs w:val="32"/>
      </w:rPr>
    </w:pPr>
    <w:r w:rsidDel="00000000" w:rsidR="00000000" w:rsidRPr="00000000">
      <w:rPr>
        <w:b w:val="1"/>
        <w:color w:val="ffffff"/>
        <w:sz w:val="32"/>
        <w:szCs w:val="32"/>
        <w:highlight w:val="darkGray"/>
        <w:rtl w:val="0"/>
      </w:rPr>
      <w:t xml:space="preserve">ATIVIDADES DE ESTRUTURAS </w:t>
    </w:r>
    <w:r w:rsidDel="00000000" w:rsidR="00000000" w:rsidRPr="00000000">
      <w:rPr>
        <w:b w:val="1"/>
        <w:color w:val="ffffff"/>
        <w:sz w:val="32"/>
        <w:szCs w:val="32"/>
        <w:rtl w:val="0"/>
      </w:rPr>
      <w:t xml:space="preserve">..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t-P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-regular.ttf"/><Relationship Id="rId2" Type="http://schemas.openxmlformats.org/officeDocument/2006/relationships/font" Target="fonts/Oswald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3913DC-8AD6-43CB-A2CD-18A163598388}"/>
</file>

<file path=customXml/itemProps2.xml><?xml version="1.0" encoding="utf-8"?>
<ds:datastoreItem xmlns:ds="http://schemas.openxmlformats.org/officeDocument/2006/customXml" ds:itemID="{EE68892D-B1E0-415B-B388-F4D5672584C0}"/>
</file>

<file path=customXml/itemProps3.xml><?xml version="1.0" encoding="utf-8"?>
<ds:datastoreItem xmlns:ds="http://schemas.openxmlformats.org/officeDocument/2006/customXml" ds:itemID="{8C71B5C5-CA92-4DB1-9B3F-C60381504861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